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0C056" w14:textId="77777777" w:rsidR="00EE0F33" w:rsidRDefault="00EE0F33" w:rsidP="00570B19">
      <w:pPr>
        <w:tabs>
          <w:tab w:val="left" w:pos="720"/>
          <w:tab w:val="left" w:pos="1440"/>
          <w:tab w:val="left" w:pos="2160"/>
          <w:tab w:val="left" w:pos="2880"/>
          <w:tab w:val="left" w:pos="3600"/>
          <w:tab w:val="left" w:pos="4320"/>
          <w:tab w:val="center" w:pos="4513"/>
          <w:tab w:val="left" w:pos="5040"/>
          <w:tab w:val="right" w:pos="9027"/>
        </w:tabs>
        <w:spacing w:before="66" w:after="200"/>
        <w:ind w:right="-164"/>
        <w:rPr>
          <w:b/>
          <w:sz w:val="36"/>
          <w:szCs w:val="36"/>
        </w:rPr>
      </w:pPr>
      <w:r>
        <w:rPr>
          <w:b/>
          <w:sz w:val="36"/>
          <w:szCs w:val="36"/>
        </w:rPr>
        <w:tab/>
      </w:r>
    </w:p>
    <w:p w14:paraId="480F97C1" w14:textId="3DCC7B81" w:rsidR="00EE0F33" w:rsidRDefault="00040C02" w:rsidP="001F1694">
      <w:pPr>
        <w:spacing w:before="66" w:after="200"/>
        <w:ind w:left="-142" w:right="-164"/>
        <w:jc w:val="center"/>
        <w:rPr>
          <w:b/>
          <w:sz w:val="36"/>
          <w:szCs w:val="36"/>
        </w:rPr>
      </w:pPr>
      <w:r w:rsidRPr="00525DCB">
        <w:rPr>
          <w:b/>
          <w:noProof/>
          <w:sz w:val="36"/>
          <w:szCs w:val="36"/>
        </w:rPr>
        <w:drawing>
          <wp:inline distT="0" distB="0" distL="0" distR="0" wp14:anchorId="68AAE126" wp14:editId="7E8C4E1C">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193DB257" w14:textId="77777777" w:rsidR="00EE0F33" w:rsidRDefault="00EE0F33" w:rsidP="001F1694">
      <w:pPr>
        <w:spacing w:before="66" w:after="200"/>
        <w:ind w:left="-142" w:right="-164"/>
        <w:jc w:val="center"/>
        <w:rPr>
          <w:b/>
          <w:sz w:val="28"/>
          <w:szCs w:val="36"/>
        </w:rPr>
      </w:pPr>
    </w:p>
    <w:p w14:paraId="6EEF644E" w14:textId="0ECB43CC" w:rsidR="00EE0F33" w:rsidRDefault="00040C02" w:rsidP="001F1694">
      <w:pPr>
        <w:tabs>
          <w:tab w:val="left" w:pos="3570"/>
        </w:tabs>
        <w:spacing w:before="66" w:after="200"/>
        <w:ind w:left="-142" w:right="-164"/>
        <w:jc w:val="center"/>
        <w:rPr>
          <w:b/>
          <w:sz w:val="32"/>
          <w:szCs w:val="36"/>
        </w:rPr>
      </w:pPr>
      <w:r w:rsidRPr="00525DCB">
        <w:rPr>
          <w:b/>
          <w:noProof/>
          <w:sz w:val="36"/>
          <w:szCs w:val="36"/>
        </w:rPr>
        <w:drawing>
          <wp:inline distT="0" distB="0" distL="0" distR="0" wp14:anchorId="26F4983E" wp14:editId="10813FAB">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70E80715" w14:textId="77777777" w:rsidR="00495FB3" w:rsidRDefault="00495FB3" w:rsidP="001F1694">
      <w:pPr>
        <w:tabs>
          <w:tab w:val="left" w:pos="3570"/>
        </w:tabs>
        <w:spacing w:before="66" w:after="200"/>
        <w:ind w:left="-142" w:right="-164"/>
        <w:jc w:val="center"/>
        <w:rPr>
          <w:b/>
          <w:sz w:val="36"/>
          <w:szCs w:val="36"/>
        </w:rPr>
      </w:pPr>
    </w:p>
    <w:p w14:paraId="1064AF7C" w14:textId="77777777" w:rsidR="00EE0F33" w:rsidRDefault="00EE0F33" w:rsidP="001F1694">
      <w:pPr>
        <w:tabs>
          <w:tab w:val="left" w:pos="3570"/>
        </w:tabs>
        <w:spacing w:before="66" w:after="200"/>
        <w:ind w:left="-142" w:right="-164"/>
        <w:jc w:val="center"/>
        <w:rPr>
          <w:b/>
          <w:sz w:val="36"/>
          <w:szCs w:val="36"/>
        </w:rPr>
      </w:pPr>
    </w:p>
    <w:p w14:paraId="01ACEF75" w14:textId="77777777" w:rsidR="00EE0F33" w:rsidRDefault="00EE0F33" w:rsidP="001F1694">
      <w:pPr>
        <w:spacing w:before="66" w:after="200"/>
        <w:ind w:left="-142" w:right="-164"/>
        <w:jc w:val="center"/>
        <w:rPr>
          <w:b/>
          <w:sz w:val="36"/>
          <w:szCs w:val="36"/>
          <w:u w:val="single"/>
        </w:rPr>
      </w:pPr>
      <w:r w:rsidRPr="00EE0F33">
        <w:rPr>
          <w:b/>
          <w:sz w:val="36"/>
          <w:szCs w:val="36"/>
          <w:u w:val="single"/>
        </w:rPr>
        <w:t xml:space="preserve">Policy </w:t>
      </w:r>
      <w:r w:rsidR="003C7BE6" w:rsidRPr="00EE0F33">
        <w:rPr>
          <w:b/>
          <w:sz w:val="36"/>
          <w:szCs w:val="36"/>
          <w:u w:val="single"/>
        </w:rPr>
        <w:t xml:space="preserve">for </w:t>
      </w:r>
      <w:r w:rsidRPr="00EE0F33">
        <w:rPr>
          <w:b/>
          <w:sz w:val="36"/>
          <w:szCs w:val="36"/>
          <w:u w:val="single"/>
        </w:rPr>
        <w:t xml:space="preserve">Determining </w:t>
      </w:r>
    </w:p>
    <w:p w14:paraId="626B12F3" w14:textId="77777777" w:rsidR="00EE0F33" w:rsidRPr="00A865F3" w:rsidRDefault="00A9668F" w:rsidP="001F1694">
      <w:pPr>
        <w:spacing w:before="66" w:after="200"/>
        <w:ind w:left="-142" w:right="-164"/>
        <w:jc w:val="center"/>
        <w:rPr>
          <w:b/>
          <w:bCs/>
          <w:u w:val="single"/>
        </w:rPr>
      </w:pPr>
      <w:r>
        <w:rPr>
          <w:b/>
          <w:sz w:val="36"/>
          <w:szCs w:val="36"/>
          <w:u w:val="single"/>
        </w:rPr>
        <w:t>Material Subsidiary</w:t>
      </w:r>
      <w:r w:rsidR="00EE0F33" w:rsidRPr="00EE0F33">
        <w:rPr>
          <w:b/>
          <w:sz w:val="36"/>
          <w:szCs w:val="36"/>
          <w:u w:val="single"/>
        </w:rPr>
        <w:t>(</w:t>
      </w:r>
      <w:r w:rsidRPr="00EE0F33">
        <w:rPr>
          <w:b/>
          <w:sz w:val="36"/>
          <w:szCs w:val="36"/>
          <w:u w:val="single"/>
        </w:rPr>
        <w:t>ies</w:t>
      </w:r>
      <w:r w:rsidR="00EE0F33" w:rsidRPr="00EE0F33">
        <w:rPr>
          <w:b/>
          <w:sz w:val="36"/>
          <w:szCs w:val="36"/>
          <w:u w:val="single"/>
        </w:rPr>
        <w:t>)</w:t>
      </w:r>
    </w:p>
    <w:p w14:paraId="40C2DE01" w14:textId="77777777" w:rsidR="00EE0F33" w:rsidRPr="00750CBF" w:rsidRDefault="00EE0F33" w:rsidP="001F1694">
      <w:pPr>
        <w:spacing w:before="66" w:after="200"/>
        <w:ind w:left="-142" w:right="-164"/>
        <w:rPr>
          <w:b/>
          <w:bCs/>
        </w:rPr>
      </w:pPr>
      <w:r w:rsidRPr="00750CBF">
        <w:rPr>
          <w:b/>
          <w:bCs/>
        </w:rPr>
        <w:br w:type="page"/>
      </w:r>
    </w:p>
    <w:p w14:paraId="0ECBA229" w14:textId="77777777" w:rsidR="00A105EF" w:rsidRPr="00EB533D" w:rsidRDefault="00994761" w:rsidP="001F1694">
      <w:pPr>
        <w:pStyle w:val="Heading1"/>
        <w:tabs>
          <w:tab w:val="left" w:pos="10080"/>
        </w:tabs>
        <w:spacing w:before="66" w:after="200"/>
        <w:ind w:left="-142" w:right="-164" w:firstLine="0"/>
        <w:jc w:val="center"/>
        <w:rPr>
          <w:u w:val="single"/>
        </w:rPr>
      </w:pPr>
      <w:r w:rsidRPr="00EB533D">
        <w:rPr>
          <w:u w:val="single"/>
        </w:rPr>
        <w:lastRenderedPageBreak/>
        <w:t xml:space="preserve">POLICY FOR DETERMINING MATERIAL </w:t>
      </w:r>
      <w:r w:rsidR="00EE0F33" w:rsidRPr="00EB533D">
        <w:rPr>
          <w:u w:val="single"/>
        </w:rPr>
        <w:t>SUBSIDIARY (</w:t>
      </w:r>
      <w:r w:rsidRPr="00EB533D">
        <w:rPr>
          <w:u w:val="single"/>
        </w:rPr>
        <w:t>IES)</w:t>
      </w:r>
    </w:p>
    <w:p w14:paraId="3518B18C" w14:textId="77777777" w:rsidR="00A105EF" w:rsidRPr="00297ADD" w:rsidRDefault="001F1694" w:rsidP="001F1694">
      <w:pPr>
        <w:pStyle w:val="ListParagraph"/>
        <w:tabs>
          <w:tab w:val="left" w:pos="832"/>
          <w:tab w:val="left" w:pos="833"/>
        </w:tabs>
        <w:spacing w:before="66" w:after="200"/>
        <w:ind w:left="-142" w:right="-164" w:firstLine="0"/>
        <w:rPr>
          <w:b/>
        </w:rPr>
      </w:pPr>
      <w:r>
        <w:rPr>
          <w:b/>
        </w:rPr>
        <w:t>BACKGROUND</w:t>
      </w:r>
    </w:p>
    <w:p w14:paraId="0F60199C" w14:textId="77777777" w:rsidR="00A105EF" w:rsidRPr="00297ADD" w:rsidRDefault="001F1694" w:rsidP="001F1694">
      <w:pPr>
        <w:spacing w:before="66" w:after="200" w:line="247" w:lineRule="auto"/>
        <w:ind w:left="-142" w:right="-164"/>
        <w:jc w:val="both"/>
      </w:pPr>
      <w:r w:rsidRPr="001F1694">
        <w:rPr>
          <w:w w:val="105"/>
        </w:rPr>
        <w:t>The Policy for determining ‘material’ subsidiary companies has been framed in accordance with the</w:t>
      </w:r>
      <w:r>
        <w:rPr>
          <w:w w:val="105"/>
        </w:rPr>
        <w:t xml:space="preserve"> </w:t>
      </w:r>
      <w:r w:rsidRPr="001F1694">
        <w:rPr>
          <w:w w:val="105"/>
        </w:rPr>
        <w:t>provisions of Regulation 16(1)(c) of the SEBI (Listing Obligations and Disclosure Requirements)</w:t>
      </w:r>
      <w:r>
        <w:rPr>
          <w:w w:val="105"/>
        </w:rPr>
        <w:t xml:space="preserve"> </w:t>
      </w:r>
      <w:r w:rsidRPr="001F1694">
        <w:rPr>
          <w:w w:val="105"/>
        </w:rPr>
        <w:t>Regulations, 2015 (“Listing Regulations”).</w:t>
      </w:r>
      <w:r>
        <w:rPr>
          <w:w w:val="105"/>
        </w:rPr>
        <w:t xml:space="preserve"> </w:t>
      </w:r>
      <w:r w:rsidRPr="001F1694">
        <w:rPr>
          <w:w w:val="105"/>
        </w:rPr>
        <w:t>The Policy will be used to determine the Material Subsidiaries of the Company and to provide the</w:t>
      </w:r>
      <w:r>
        <w:rPr>
          <w:w w:val="105"/>
        </w:rPr>
        <w:t xml:space="preserve"> </w:t>
      </w:r>
      <w:r w:rsidRPr="001F1694">
        <w:rPr>
          <w:w w:val="105"/>
        </w:rPr>
        <w:t>governance framework for such subsidiaries.</w:t>
      </w:r>
      <w:r>
        <w:rPr>
          <w:w w:val="105"/>
        </w:rPr>
        <w:t xml:space="preserve"> </w:t>
      </w:r>
      <w:r w:rsidRPr="001F1694">
        <w:rPr>
          <w:w w:val="105"/>
        </w:rPr>
        <w:t>All the words and expressions used in this Policy, unless defined hereafter, shall have meaning</w:t>
      </w:r>
      <w:r>
        <w:rPr>
          <w:w w:val="105"/>
        </w:rPr>
        <w:t xml:space="preserve"> </w:t>
      </w:r>
      <w:r w:rsidRPr="001F1694">
        <w:rPr>
          <w:w w:val="105"/>
        </w:rPr>
        <w:t>respectively assigned to them under the Listing Regulations and in the absence of its definition or</w:t>
      </w:r>
      <w:r>
        <w:rPr>
          <w:w w:val="105"/>
        </w:rPr>
        <w:t xml:space="preserve"> </w:t>
      </w:r>
      <w:r w:rsidRPr="001F1694">
        <w:rPr>
          <w:w w:val="105"/>
        </w:rPr>
        <w:t>explanation therein, as per the Companies Act, 2013 and the Rules, Notifications and Circulars</w:t>
      </w:r>
      <w:r>
        <w:rPr>
          <w:w w:val="105"/>
        </w:rPr>
        <w:t xml:space="preserve"> </w:t>
      </w:r>
      <w:r w:rsidRPr="001F1694">
        <w:rPr>
          <w:w w:val="105"/>
        </w:rPr>
        <w:t>made/issued thereunder, as amended, from time to time</w:t>
      </w:r>
      <w:r w:rsidR="00994761" w:rsidRPr="00297ADD">
        <w:rPr>
          <w:w w:val="105"/>
        </w:rPr>
        <w:t>.</w:t>
      </w:r>
    </w:p>
    <w:p w14:paraId="74C32FAA" w14:textId="77777777" w:rsidR="00A105EF" w:rsidRPr="00297ADD" w:rsidRDefault="001F1694" w:rsidP="001F1694">
      <w:pPr>
        <w:pStyle w:val="Heading1"/>
        <w:tabs>
          <w:tab w:val="left" w:pos="832"/>
          <w:tab w:val="left" w:pos="833"/>
        </w:tabs>
        <w:spacing w:before="66" w:after="200"/>
        <w:ind w:left="-142" w:right="-164" w:firstLine="0"/>
      </w:pPr>
      <w:r>
        <w:t>OBJECTIVE</w:t>
      </w:r>
    </w:p>
    <w:p w14:paraId="7F087D39" w14:textId="2D97EB4D" w:rsidR="00A105EF" w:rsidRPr="00297ADD" w:rsidRDefault="001F1694" w:rsidP="001F1694">
      <w:pPr>
        <w:spacing w:before="66" w:after="200" w:line="247" w:lineRule="auto"/>
        <w:ind w:left="-142" w:right="-164"/>
        <w:jc w:val="both"/>
      </w:pPr>
      <w:r w:rsidRPr="001F1694">
        <w:rPr>
          <w:w w:val="105"/>
        </w:rPr>
        <w:t>The objective of the policy is to define the Material Subsidiary of</w:t>
      </w:r>
      <w:r w:rsidR="00DF3A48">
        <w:rPr>
          <w:w w:val="105"/>
        </w:rPr>
        <w:t xml:space="preserve"> </w:t>
      </w:r>
      <w:r w:rsidR="00040C02">
        <w:rPr>
          <w:b/>
        </w:rPr>
        <w:t>BAI-KAKAJI POLYMERS LIMITED</w:t>
      </w:r>
      <w:r w:rsidR="00040C02" w:rsidRPr="00B55C44">
        <w:rPr>
          <w:b/>
        </w:rPr>
        <w:t xml:space="preserve"> </w:t>
      </w:r>
      <w:r w:rsidRPr="001F1694">
        <w:rPr>
          <w:w w:val="105"/>
        </w:rPr>
        <w:t>and to provide good corporate governance framework of such</w:t>
      </w:r>
      <w:r>
        <w:rPr>
          <w:w w:val="105"/>
        </w:rPr>
        <w:t xml:space="preserve"> </w:t>
      </w:r>
      <w:r w:rsidRPr="001F1694">
        <w:rPr>
          <w:w w:val="105"/>
        </w:rPr>
        <w:t>subsidiaries in compliance with the applicable regulatory requirements</w:t>
      </w:r>
      <w:r w:rsidR="00994761" w:rsidRPr="00297ADD">
        <w:rPr>
          <w:w w:val="105"/>
        </w:rPr>
        <w:t>.</w:t>
      </w:r>
    </w:p>
    <w:p w14:paraId="03B8E647" w14:textId="77777777" w:rsidR="00A105EF" w:rsidRDefault="001F1694" w:rsidP="001F1694">
      <w:pPr>
        <w:pStyle w:val="Heading1"/>
        <w:tabs>
          <w:tab w:val="left" w:pos="832"/>
          <w:tab w:val="left" w:pos="833"/>
        </w:tabs>
        <w:spacing w:before="66" w:after="200"/>
        <w:ind w:left="-142" w:right="-164" w:firstLine="0"/>
      </w:pPr>
      <w:r>
        <w:t>DEFINITIONS</w:t>
      </w:r>
    </w:p>
    <w:p w14:paraId="6766DAED" w14:textId="77777777" w:rsidR="001F1694" w:rsidRPr="001F1694" w:rsidRDefault="001F1694" w:rsidP="001F1694">
      <w:pPr>
        <w:spacing w:before="66" w:after="200" w:line="247" w:lineRule="auto"/>
        <w:ind w:left="-142" w:right="-164"/>
        <w:jc w:val="both"/>
        <w:rPr>
          <w:b/>
        </w:rPr>
      </w:pPr>
      <w:r w:rsidRPr="001F1694">
        <w:t xml:space="preserve">The terms and </w:t>
      </w:r>
      <w:r w:rsidRPr="001F1694">
        <w:rPr>
          <w:w w:val="105"/>
        </w:rPr>
        <w:t>expressions</w:t>
      </w:r>
      <w:r w:rsidRPr="001F1694">
        <w:t xml:space="preserve"> not defined hereunder shall have the same meaning as</w:t>
      </w:r>
      <w:r>
        <w:rPr>
          <w:b/>
        </w:rPr>
        <w:t xml:space="preserve"> </w:t>
      </w:r>
      <w:r w:rsidRPr="001F1694">
        <w:t>defined under the Companies Act, 2013, SEBI Act, 1992 and the Listing Regulations.</w:t>
      </w:r>
    </w:p>
    <w:p w14:paraId="6FE9AB95" w14:textId="77777777" w:rsidR="00A105EF" w:rsidRPr="00297ADD" w:rsidRDefault="001F1694" w:rsidP="001F1694">
      <w:pPr>
        <w:pStyle w:val="BodyText"/>
        <w:spacing w:before="66" w:after="200" w:line="266" w:lineRule="auto"/>
        <w:ind w:left="-142" w:right="-164"/>
        <w:jc w:val="both"/>
      </w:pPr>
      <w:r w:rsidRPr="00297ADD">
        <w:rPr>
          <w:b/>
        </w:rPr>
        <w:t xml:space="preserve"> </w:t>
      </w:r>
      <w:r w:rsidR="00994761" w:rsidRPr="00297ADD">
        <w:rPr>
          <w:b/>
        </w:rPr>
        <w:t xml:space="preserve">“Audit Committee” </w:t>
      </w:r>
      <w:r w:rsidR="00994761" w:rsidRPr="00297ADD">
        <w:t xml:space="preserve">means Committee constituted pursuant to Section </w:t>
      </w:r>
      <w:r w:rsidR="00192FAA">
        <w:t xml:space="preserve">177 of </w:t>
      </w:r>
      <w:r w:rsidR="00994761" w:rsidRPr="00297ADD">
        <w:t>the Companies Act, 2013 read with</w:t>
      </w:r>
      <w:r w:rsidR="00192FAA">
        <w:t xml:space="preserve"> Regulation 18 of SEBI (Listing </w:t>
      </w:r>
      <w:r w:rsidR="00994761" w:rsidRPr="00297ADD">
        <w:t>Obligations and Disclosure Requirements) Regulations, 2015, including any statutory modification(s) or re-enactment(s)</w:t>
      </w:r>
      <w:r w:rsidR="00C66ACC">
        <w:t xml:space="preserve"> </w:t>
      </w:r>
      <w:r w:rsidR="00994761" w:rsidRPr="00297ADD">
        <w:t>thereof.</w:t>
      </w:r>
    </w:p>
    <w:p w14:paraId="72686C23" w14:textId="77777777" w:rsidR="00A105EF" w:rsidRPr="00297ADD" w:rsidRDefault="00994761" w:rsidP="001F1694">
      <w:pPr>
        <w:pStyle w:val="BodyText"/>
        <w:spacing w:before="66" w:after="200" w:line="266" w:lineRule="auto"/>
        <w:ind w:left="-142" w:right="-164"/>
        <w:jc w:val="both"/>
      </w:pPr>
      <w:r w:rsidRPr="00297ADD">
        <w:rPr>
          <w:b/>
        </w:rPr>
        <w:t xml:space="preserve">“Control” </w:t>
      </w:r>
      <w:r w:rsidRPr="00297ADD">
        <w:t>shall have the same meaning as assigned to the term in SEBI (Substantial Acquisition of Shares and Takeovers) Regulations, 2011.</w:t>
      </w:r>
    </w:p>
    <w:p w14:paraId="2B09620B" w14:textId="77777777" w:rsidR="00A105EF" w:rsidRPr="00297ADD" w:rsidRDefault="00994761" w:rsidP="001F1694">
      <w:pPr>
        <w:pStyle w:val="BodyText"/>
        <w:spacing w:before="66" w:after="200" w:line="266" w:lineRule="auto"/>
        <w:ind w:left="-142" w:right="-164"/>
        <w:jc w:val="both"/>
      </w:pPr>
      <w:r w:rsidRPr="00297ADD">
        <w:rPr>
          <w:b/>
        </w:rPr>
        <w:t xml:space="preserve">“Independent Director” </w:t>
      </w:r>
      <w:r w:rsidRPr="00297ADD">
        <w:t>shall have the meaning as ascribed to the term under Regulation 16(1</w:t>
      </w:r>
      <w:proofErr w:type="gramStart"/>
      <w:r w:rsidRPr="00297ADD">
        <w:t>)(</w:t>
      </w:r>
      <w:proofErr w:type="gramEnd"/>
      <w:r w:rsidRPr="00297ADD">
        <w:t>b) of the Securities and Exchange  Board  of  India  (Listing  Obligations and Disclosure Requirements) Regulations, 2015 read with Section 149 of the Companies Act, 2013, including any modifications, amendments, clarifications, circulars or re-enactments</w:t>
      </w:r>
      <w:r w:rsidR="001F1694">
        <w:t xml:space="preserve"> </w:t>
      </w:r>
      <w:r w:rsidRPr="00297ADD">
        <w:t>thereof.</w:t>
      </w:r>
    </w:p>
    <w:p w14:paraId="2203060E" w14:textId="77777777" w:rsidR="00A105EF" w:rsidRPr="00297ADD" w:rsidRDefault="00994761" w:rsidP="001119BE">
      <w:pPr>
        <w:pStyle w:val="BodyText"/>
        <w:spacing w:before="66" w:after="200" w:line="266" w:lineRule="auto"/>
        <w:ind w:left="-142" w:right="-164"/>
        <w:jc w:val="both"/>
      </w:pPr>
      <w:r w:rsidRPr="00297ADD">
        <w:rPr>
          <w:b/>
        </w:rPr>
        <w:t>“Subsidiary</w:t>
      </w:r>
      <w:r w:rsidR="001119BE">
        <w:rPr>
          <w:b/>
        </w:rPr>
        <w:t xml:space="preserve"> Company</w:t>
      </w:r>
      <w:r w:rsidRPr="00297ADD">
        <w:rPr>
          <w:b/>
        </w:rPr>
        <w:t xml:space="preserve">” </w:t>
      </w:r>
      <w:r w:rsidR="001119BE">
        <w:t>shall mean a subsidiary as defined under Section 2(87) of the Companies Act, 2013 and rules related thereto</w:t>
      </w:r>
      <w:r w:rsidRPr="00297ADD">
        <w:t>.</w:t>
      </w:r>
    </w:p>
    <w:p w14:paraId="690C1A8E" w14:textId="77777777" w:rsidR="000C0337" w:rsidRPr="000C0337" w:rsidRDefault="000C0337" w:rsidP="000C0337">
      <w:pPr>
        <w:pStyle w:val="BodyText"/>
        <w:spacing w:before="66" w:after="200" w:line="244" w:lineRule="auto"/>
        <w:ind w:left="-142" w:right="-164"/>
        <w:jc w:val="both"/>
        <w:rPr>
          <w:b/>
        </w:rPr>
      </w:pPr>
      <w:r>
        <w:rPr>
          <w:b/>
        </w:rPr>
        <w:t xml:space="preserve">PROCEDURE &amp; </w:t>
      </w:r>
      <w:r w:rsidRPr="000C0337">
        <w:rPr>
          <w:b/>
        </w:rPr>
        <w:t>POLICY</w:t>
      </w:r>
    </w:p>
    <w:p w14:paraId="1063A0C4" w14:textId="77777777" w:rsidR="000C0337" w:rsidRPr="000C0337" w:rsidRDefault="000C0337" w:rsidP="000C0337">
      <w:pPr>
        <w:pStyle w:val="BodyText"/>
        <w:numPr>
          <w:ilvl w:val="0"/>
          <w:numId w:val="8"/>
        </w:numPr>
        <w:spacing w:before="66" w:after="200" w:line="244" w:lineRule="auto"/>
        <w:ind w:left="284" w:right="-164"/>
        <w:jc w:val="both"/>
      </w:pPr>
      <w:r w:rsidRPr="000C0337">
        <w:t>A subsidiary shall be a Material Subsidiary, if any of the following conditions are</w:t>
      </w:r>
      <w:r>
        <w:t xml:space="preserve"> </w:t>
      </w:r>
      <w:r w:rsidRPr="000C0337">
        <w:t>satisfied:</w:t>
      </w:r>
    </w:p>
    <w:p w14:paraId="591B3740" w14:textId="77777777" w:rsidR="000C0337" w:rsidRPr="000C0337" w:rsidRDefault="000C0337" w:rsidP="000C0337">
      <w:pPr>
        <w:pStyle w:val="BodyText"/>
        <w:numPr>
          <w:ilvl w:val="0"/>
          <w:numId w:val="10"/>
        </w:numPr>
        <w:spacing w:before="66" w:after="200" w:line="244" w:lineRule="auto"/>
        <w:ind w:right="-164"/>
        <w:jc w:val="both"/>
      </w:pPr>
      <w:r w:rsidRPr="000C0337">
        <w:t>Whose net worth exceeds 10% of the net worth of the Company and its</w:t>
      </w:r>
      <w:r>
        <w:t xml:space="preserve"> </w:t>
      </w:r>
      <w:r w:rsidRPr="000C0337">
        <w:t>Subsidiaries in the immediately preceding accounting year; or</w:t>
      </w:r>
    </w:p>
    <w:p w14:paraId="042366FF" w14:textId="77777777" w:rsidR="000C0337" w:rsidRPr="000C0337" w:rsidRDefault="000C0337" w:rsidP="000C0337">
      <w:pPr>
        <w:pStyle w:val="BodyText"/>
        <w:numPr>
          <w:ilvl w:val="0"/>
          <w:numId w:val="10"/>
        </w:numPr>
        <w:spacing w:before="66" w:after="200" w:line="244" w:lineRule="auto"/>
        <w:ind w:right="-164"/>
        <w:jc w:val="both"/>
      </w:pPr>
      <w:r w:rsidRPr="000C0337">
        <w:t>which have generated 10% of the consolidated income of the Company and its</w:t>
      </w:r>
      <w:r>
        <w:t xml:space="preserve"> </w:t>
      </w:r>
      <w:r w:rsidRPr="000C0337">
        <w:t>Subsidiaries in the immediately preceding accounting year</w:t>
      </w:r>
    </w:p>
    <w:p w14:paraId="5D3308D2" w14:textId="77777777" w:rsidR="000C0337" w:rsidRPr="000C0337" w:rsidRDefault="000C0337" w:rsidP="000C0337">
      <w:pPr>
        <w:pStyle w:val="BodyText"/>
        <w:numPr>
          <w:ilvl w:val="0"/>
          <w:numId w:val="8"/>
        </w:numPr>
        <w:spacing w:before="66" w:after="200" w:line="244" w:lineRule="auto"/>
        <w:ind w:left="284" w:right="-164"/>
        <w:jc w:val="both"/>
      </w:pPr>
      <w:r w:rsidRPr="000C0337">
        <w:t>One Independent Director of the Company shall be a Director on the Board of the</w:t>
      </w:r>
      <w:r>
        <w:t xml:space="preserve"> </w:t>
      </w:r>
      <w:r w:rsidRPr="000C0337">
        <w:t>material unlisted subsidiary company.</w:t>
      </w:r>
    </w:p>
    <w:p w14:paraId="09E6455F" w14:textId="77777777" w:rsidR="000C0337" w:rsidRPr="000C0337" w:rsidRDefault="000C0337" w:rsidP="000C0337">
      <w:pPr>
        <w:pStyle w:val="BodyText"/>
        <w:spacing w:before="66" w:after="200" w:line="244" w:lineRule="auto"/>
        <w:ind w:left="284" w:right="-164"/>
        <w:jc w:val="both"/>
      </w:pPr>
      <w:r w:rsidRPr="000C0337">
        <w:lastRenderedPageBreak/>
        <w:t>For the purposes of this requirement, “material subsidiary” shall mean a subsidiary,</w:t>
      </w:r>
      <w:r>
        <w:t xml:space="preserve"> </w:t>
      </w:r>
      <w:r w:rsidRPr="000C0337">
        <w:t>whose income or net worth exceeds twenty percent of the consolidated income or</w:t>
      </w:r>
      <w:r>
        <w:t xml:space="preserve"> </w:t>
      </w:r>
      <w:r w:rsidRPr="000C0337">
        <w:t>net worth respectively, of the listed entity and its subsidiaries in the immediately</w:t>
      </w:r>
      <w:r>
        <w:t xml:space="preserve"> </w:t>
      </w:r>
      <w:r w:rsidRPr="000C0337">
        <w:t>preceding accounting year.”</w:t>
      </w:r>
    </w:p>
    <w:p w14:paraId="62000242" w14:textId="77777777" w:rsidR="000C0337" w:rsidRDefault="000C0337" w:rsidP="000C0337">
      <w:pPr>
        <w:pStyle w:val="BodyText"/>
        <w:numPr>
          <w:ilvl w:val="0"/>
          <w:numId w:val="8"/>
        </w:numPr>
        <w:spacing w:before="66" w:after="200" w:line="244" w:lineRule="auto"/>
        <w:ind w:left="284" w:right="-164"/>
        <w:jc w:val="both"/>
      </w:pPr>
      <w:r w:rsidRPr="000C0337">
        <w:t>The Audit Committee of the Board of the Company shall review the financial</w:t>
      </w:r>
      <w:r>
        <w:t xml:space="preserve"> </w:t>
      </w:r>
      <w:r w:rsidRPr="000C0337">
        <w:t>statements, in particular, the investments made by the unlisted subsidiary company.</w:t>
      </w:r>
    </w:p>
    <w:p w14:paraId="35639962" w14:textId="77777777" w:rsidR="000C0337" w:rsidRPr="000C0337" w:rsidRDefault="000C0337" w:rsidP="000C0337">
      <w:pPr>
        <w:pStyle w:val="BodyText"/>
        <w:numPr>
          <w:ilvl w:val="0"/>
          <w:numId w:val="8"/>
        </w:numPr>
        <w:spacing w:before="66" w:after="200" w:line="244" w:lineRule="auto"/>
        <w:ind w:left="284" w:right="-164"/>
        <w:jc w:val="both"/>
      </w:pPr>
      <w:r w:rsidRPr="000C0337">
        <w:t>The minutes of the unlisted subsidiary companies shall be placed before the Board</w:t>
      </w:r>
      <w:r>
        <w:t xml:space="preserve"> </w:t>
      </w:r>
      <w:r w:rsidRPr="000C0337">
        <w:t>of the Company.</w:t>
      </w:r>
    </w:p>
    <w:p w14:paraId="490024A9" w14:textId="77777777" w:rsidR="000C0337" w:rsidRDefault="000C0337" w:rsidP="000C0337">
      <w:pPr>
        <w:pStyle w:val="BodyText"/>
        <w:numPr>
          <w:ilvl w:val="0"/>
          <w:numId w:val="8"/>
        </w:numPr>
        <w:spacing w:before="66" w:after="200" w:line="244" w:lineRule="auto"/>
        <w:ind w:left="284" w:right="-164"/>
        <w:jc w:val="both"/>
      </w:pPr>
      <w:r w:rsidRPr="000C0337">
        <w:t>The Management shall periodically bring to the attention of the Board of Directors of</w:t>
      </w:r>
      <w:r>
        <w:t xml:space="preserve"> </w:t>
      </w:r>
      <w:r w:rsidRPr="000C0337">
        <w:t>the Company, a statement of all Significant Transactions and Arrangements entered</w:t>
      </w:r>
      <w:r>
        <w:t xml:space="preserve"> </w:t>
      </w:r>
      <w:r w:rsidRPr="000C0337">
        <w:t>into by the unlisted subsidiary company</w:t>
      </w:r>
      <w:r>
        <w:t>.</w:t>
      </w:r>
    </w:p>
    <w:p w14:paraId="258B3BFE" w14:textId="77777777" w:rsidR="000C0337" w:rsidRDefault="000C0337">
      <w:pPr>
        <w:pStyle w:val="BodyText"/>
        <w:numPr>
          <w:ilvl w:val="0"/>
          <w:numId w:val="8"/>
        </w:numPr>
        <w:spacing w:before="66" w:after="200" w:line="244" w:lineRule="auto"/>
        <w:ind w:left="284" w:right="-164"/>
        <w:jc w:val="both"/>
      </w:pPr>
      <w:r>
        <w:t>The Company shall not dispose of the shares in Material Subsidiary resulting in reduction of its shareholding (either on its own or together with other subsidiaries) to less than or equal to 50% or cease the exercise of control over the Subsidiary without passing a special resolution in its General Meeting except in cases where such disinvestment is made under a scheme of arrangement duly approved by a Court / Tribunal, or under a resolution plan duly approved under section 31 of the Insolvency Code and such an event is disclosed to the recognized stock exchanges within one day of the resolution plan being approved.</w:t>
      </w:r>
    </w:p>
    <w:p w14:paraId="69893585" w14:textId="77777777" w:rsidR="000C0337" w:rsidRDefault="000C0337">
      <w:pPr>
        <w:pStyle w:val="BodyText"/>
        <w:numPr>
          <w:ilvl w:val="0"/>
          <w:numId w:val="8"/>
        </w:numPr>
        <w:spacing w:before="66" w:after="200" w:line="244" w:lineRule="auto"/>
        <w:ind w:left="284" w:right="-164"/>
        <w:jc w:val="both"/>
      </w:pPr>
      <w:r>
        <w:t>Selling, disposing and leasing of assets amounting to more than twenty percent of the assets of the material subsidiary on an aggregate basis during a financial year shall require prior approval of shareholders by way of special resolution, unless the sale/disposal/lease is made under a scheme of arrangement duly approved by a Court/Tribunal, or under a resolution plan duly approved under section 31 of the Insolvency Code and such an event is disclosed to the recognized stock exchanges within one day of the resolution plan being approved.</w:t>
      </w:r>
    </w:p>
    <w:p w14:paraId="4FD71CA3" w14:textId="77777777" w:rsidR="000C0337" w:rsidRPr="000C0337" w:rsidRDefault="000C0337" w:rsidP="000C0337">
      <w:pPr>
        <w:pStyle w:val="BodyText"/>
        <w:spacing w:before="66" w:after="200" w:line="244" w:lineRule="auto"/>
        <w:ind w:left="-142" w:right="-164"/>
        <w:jc w:val="both"/>
        <w:rPr>
          <w:b/>
        </w:rPr>
      </w:pPr>
      <w:r w:rsidRPr="000C0337">
        <w:rPr>
          <w:b/>
        </w:rPr>
        <w:t>AMENDMENT</w:t>
      </w:r>
    </w:p>
    <w:p w14:paraId="0A727395" w14:textId="77777777" w:rsidR="000C0337" w:rsidRPr="000C0337" w:rsidRDefault="000C0337" w:rsidP="000C0337">
      <w:pPr>
        <w:spacing w:before="66" w:after="200" w:line="247" w:lineRule="auto"/>
        <w:ind w:left="-142" w:right="-164"/>
        <w:jc w:val="both"/>
        <w:rPr>
          <w:w w:val="105"/>
        </w:rPr>
      </w:pPr>
      <w:r w:rsidRPr="000C0337">
        <w:rPr>
          <w:color w:val="000000" w:themeColor="text1"/>
        </w:rPr>
        <w:t xml:space="preserve">Any change in the Policy shall be approved by the Board of the Company. The Board shall have the right to </w:t>
      </w:r>
      <w:r w:rsidRPr="000C0337">
        <w:rPr>
          <w:w w:val="105"/>
        </w:rPr>
        <w:t xml:space="preserve">withdraw and/ or amend any part of this Policy or the entire Policy, at any time, as it deems fit, or from time to time, and the decision of the Board in this respect shall be final and binding. </w:t>
      </w:r>
    </w:p>
    <w:p w14:paraId="63C8D0DA" w14:textId="77777777" w:rsidR="000C0337" w:rsidRPr="000C0337" w:rsidRDefault="000C0337" w:rsidP="000C0337">
      <w:pPr>
        <w:spacing w:before="66" w:after="200" w:line="247" w:lineRule="auto"/>
        <w:ind w:left="-142" w:right="-164"/>
        <w:jc w:val="both"/>
        <w:rPr>
          <w:b/>
          <w:bCs/>
        </w:rPr>
      </w:pPr>
      <w:r w:rsidRPr="000C0337">
        <w:rPr>
          <w:w w:val="105"/>
        </w:rPr>
        <w:t>In case</w:t>
      </w:r>
      <w:r w:rsidRPr="000C0337">
        <w:rPr>
          <w:color w:val="000000" w:themeColor="text1"/>
        </w:rPr>
        <w:t xml:space="preserve"> any provisions of the Policy are contrary to or inconsistent with the provisions of the Companies Act, 2013, rules framed thereunder and Listing Regulations (“Statutory Provisions”), the provisions of Statutory Provisions shall prevail.</w:t>
      </w:r>
    </w:p>
    <w:p w14:paraId="2A011E1A" w14:textId="77777777" w:rsidR="000C0337" w:rsidRPr="000C0337" w:rsidRDefault="000C0337" w:rsidP="000C0337">
      <w:pPr>
        <w:pStyle w:val="BodyText"/>
        <w:spacing w:before="66" w:after="200" w:line="244" w:lineRule="auto"/>
        <w:ind w:left="-142" w:right="-164"/>
        <w:jc w:val="both"/>
        <w:rPr>
          <w:b/>
        </w:rPr>
      </w:pPr>
      <w:r w:rsidRPr="000C0337">
        <w:rPr>
          <w:b/>
        </w:rPr>
        <w:t>DISSEMINATION OF THE POLICY</w:t>
      </w:r>
    </w:p>
    <w:p w14:paraId="07EC9C4C" w14:textId="61AD8658" w:rsidR="000C0337" w:rsidRDefault="000C0337" w:rsidP="000C0337">
      <w:pPr>
        <w:spacing w:before="66" w:after="200" w:line="247" w:lineRule="auto"/>
        <w:ind w:left="-142" w:right="-164"/>
        <w:jc w:val="both"/>
        <w:rPr>
          <w:rStyle w:val="Hyperlink"/>
        </w:rPr>
      </w:pPr>
      <w:r w:rsidRPr="000C0337">
        <w:rPr>
          <w:color w:val="000000" w:themeColor="text1"/>
        </w:rPr>
        <w:t>The policy shall be hosted on the website of the Company i.e.</w:t>
      </w:r>
      <w:r w:rsidR="00C819E5">
        <w:rPr>
          <w:color w:val="000000" w:themeColor="text1"/>
        </w:rPr>
        <w:t xml:space="preserve"> </w:t>
      </w:r>
      <w:hyperlink r:id="rId9" w:history="1">
        <w:r w:rsidR="00040C02" w:rsidRPr="00040C02">
          <w:rPr>
            <w:color w:val="0000FF" w:themeColor="hyperlink"/>
            <w:w w:val="105"/>
            <w:u w:val="single"/>
          </w:rPr>
          <w:t>https://www.baikakajipolymers.com</w:t>
        </w:r>
      </w:hyperlink>
    </w:p>
    <w:p w14:paraId="1B34C2B7" w14:textId="77777777" w:rsidR="00B978EE" w:rsidRDefault="00B978EE" w:rsidP="0023722D">
      <w:pPr>
        <w:spacing w:before="66" w:after="200" w:line="247" w:lineRule="auto"/>
        <w:ind w:left="-142" w:right="-164"/>
        <w:jc w:val="center"/>
        <w:rPr>
          <w:color w:val="000000" w:themeColor="text1"/>
          <w:sz w:val="32"/>
        </w:rPr>
      </w:pPr>
    </w:p>
    <w:p w14:paraId="521E954F" w14:textId="77777777" w:rsidR="000C0337" w:rsidRPr="0023722D" w:rsidRDefault="0023722D" w:rsidP="0023722D">
      <w:pPr>
        <w:spacing w:before="66" w:after="200" w:line="247" w:lineRule="auto"/>
        <w:ind w:left="-142" w:right="-164"/>
        <w:jc w:val="center"/>
        <w:rPr>
          <w:color w:val="000000" w:themeColor="text1"/>
          <w:sz w:val="32"/>
          <w:highlight w:val="yellow"/>
        </w:rPr>
      </w:pPr>
      <w:r w:rsidRPr="0023722D">
        <w:rPr>
          <w:color w:val="000000" w:themeColor="text1"/>
          <w:sz w:val="32"/>
        </w:rPr>
        <w:t>*************</w:t>
      </w:r>
    </w:p>
    <w:p w14:paraId="7A52E5B1" w14:textId="77777777" w:rsidR="000C0337" w:rsidRDefault="000C0337" w:rsidP="000C0337">
      <w:pPr>
        <w:spacing w:before="66" w:after="200" w:line="247" w:lineRule="auto"/>
        <w:ind w:left="-142" w:right="-164"/>
        <w:jc w:val="both"/>
        <w:rPr>
          <w:i/>
          <w:color w:val="000000" w:themeColor="text1"/>
          <w:sz w:val="20"/>
          <w:highlight w:val="yellow"/>
        </w:rPr>
      </w:pPr>
    </w:p>
    <w:p w14:paraId="5942AA04" w14:textId="77777777" w:rsidR="000C0337" w:rsidRDefault="000C0337" w:rsidP="000C0337">
      <w:pPr>
        <w:spacing w:before="66" w:after="200" w:line="247" w:lineRule="auto"/>
        <w:ind w:left="-142" w:right="-164"/>
        <w:jc w:val="both"/>
        <w:rPr>
          <w:i/>
          <w:color w:val="000000" w:themeColor="text1"/>
          <w:sz w:val="20"/>
          <w:highlight w:val="yellow"/>
        </w:rPr>
      </w:pPr>
    </w:p>
    <w:p w14:paraId="6D8138E3" w14:textId="77777777" w:rsidR="000C0337" w:rsidRDefault="000C0337" w:rsidP="000C0337">
      <w:pPr>
        <w:spacing w:before="66" w:after="200" w:line="247" w:lineRule="auto"/>
        <w:ind w:left="-142" w:right="-164"/>
        <w:jc w:val="both"/>
        <w:rPr>
          <w:i/>
          <w:color w:val="000000" w:themeColor="text1"/>
          <w:sz w:val="20"/>
          <w:highlight w:val="yellow"/>
        </w:rPr>
      </w:pPr>
    </w:p>
    <w:p w14:paraId="488DC667" w14:textId="77777777" w:rsidR="00040C02" w:rsidRPr="001A52F3" w:rsidRDefault="00040C02" w:rsidP="00040C02">
      <w:pPr>
        <w:pStyle w:val="BodyText"/>
        <w:spacing w:before="26"/>
        <w:ind w:left="-142" w:right="-165"/>
        <w:jc w:val="both"/>
        <w:rPr>
          <w:i/>
          <w:sz w:val="18"/>
        </w:rPr>
      </w:pPr>
      <w:r w:rsidRPr="001A52F3">
        <w:rPr>
          <w:i/>
          <w:sz w:val="18"/>
        </w:rPr>
        <w:t>Effective Date: May 23, 2025</w:t>
      </w:r>
    </w:p>
    <w:p w14:paraId="0201341D" w14:textId="77777777" w:rsidR="00040C02" w:rsidRPr="00E215DE" w:rsidRDefault="00040C02" w:rsidP="00040C02">
      <w:pPr>
        <w:pStyle w:val="BodyText"/>
        <w:spacing w:before="26"/>
        <w:ind w:left="-142" w:right="-165"/>
        <w:jc w:val="both"/>
      </w:pPr>
      <w:r w:rsidRPr="001A52F3">
        <w:rPr>
          <w:i/>
          <w:sz w:val="18"/>
        </w:rPr>
        <w:t xml:space="preserve">Date of Approval by Board of Directors: </w:t>
      </w:r>
      <w:r>
        <w:rPr>
          <w:i/>
          <w:sz w:val="18"/>
        </w:rPr>
        <w:t>May 23, 2025</w:t>
      </w:r>
    </w:p>
    <w:p w14:paraId="1BC89EAA" w14:textId="2724C45C" w:rsidR="000C0337" w:rsidRPr="000C0337" w:rsidRDefault="000C0337" w:rsidP="00040C02">
      <w:pPr>
        <w:spacing w:before="66" w:line="247" w:lineRule="auto"/>
        <w:ind w:left="-142" w:right="-164"/>
        <w:jc w:val="both"/>
        <w:rPr>
          <w:i/>
          <w:color w:val="000000" w:themeColor="text1"/>
          <w:sz w:val="20"/>
        </w:rPr>
      </w:pPr>
      <w:bookmarkStart w:id="0" w:name="_GoBack"/>
      <w:bookmarkEnd w:id="0"/>
    </w:p>
    <w:sectPr w:rsidR="000C0337" w:rsidRPr="000C0337" w:rsidSect="00EE0F33">
      <w:headerReference w:type="default" r:id="rId10"/>
      <w:footerReference w:type="default" r:id="rId11"/>
      <w:pgSz w:w="12240" w:h="15840"/>
      <w:pgMar w:top="1440" w:right="1080" w:bottom="1710" w:left="1080" w:header="757" w:footer="1226" w:gutter="0"/>
      <w:pgBorders w:offsetFrom="page">
        <w:top w:val="double" w:sz="2" w:space="24" w:color="auto"/>
        <w:left w:val="double" w:sz="2" w:space="24" w:color="auto"/>
        <w:bottom w:val="double" w:sz="2" w:space="24" w:color="auto"/>
        <w:right w:val="double" w:sz="2"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6439" w14:textId="77777777" w:rsidR="00B16E60" w:rsidRDefault="00B16E60">
      <w:r>
        <w:separator/>
      </w:r>
    </w:p>
  </w:endnote>
  <w:endnote w:type="continuationSeparator" w:id="0">
    <w:p w14:paraId="4AFFCC09" w14:textId="77777777" w:rsidR="00B16E60" w:rsidRDefault="00B1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B2821" w14:textId="77777777" w:rsidR="00A105EF" w:rsidRDefault="00A105E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B729E" w14:textId="77777777" w:rsidR="00B16E60" w:rsidRDefault="00B16E60">
      <w:r>
        <w:separator/>
      </w:r>
    </w:p>
  </w:footnote>
  <w:footnote w:type="continuationSeparator" w:id="0">
    <w:p w14:paraId="04AE7969" w14:textId="77777777" w:rsidR="00B16E60" w:rsidRDefault="00B16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ED4E5" w14:textId="77777777" w:rsidR="00A105EF" w:rsidRDefault="00A105E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76FB"/>
    <w:multiLevelType w:val="hybridMultilevel"/>
    <w:tmpl w:val="27EE2AB8"/>
    <w:lvl w:ilvl="0" w:tplc="79DEC42A">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
    <w:nsid w:val="18C20EE4"/>
    <w:multiLevelType w:val="hybridMultilevel"/>
    <w:tmpl w:val="D750B4D8"/>
    <w:lvl w:ilvl="0" w:tplc="40090019">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
    <w:nsid w:val="23594745"/>
    <w:multiLevelType w:val="hybridMultilevel"/>
    <w:tmpl w:val="CE7AB60E"/>
    <w:lvl w:ilvl="0" w:tplc="EA882208">
      <w:start w:val="1"/>
      <w:numFmt w:val="lowerRoman"/>
      <w:lvlText w:val="%1."/>
      <w:lvlJc w:val="left"/>
      <w:pPr>
        <w:ind w:left="1847" w:hanging="676"/>
      </w:pPr>
      <w:rPr>
        <w:rFonts w:ascii="Times New Roman" w:eastAsia="Times New Roman" w:hAnsi="Times New Roman" w:cs="Times New Roman" w:hint="default"/>
        <w:spacing w:val="-1"/>
        <w:w w:val="102"/>
        <w:sz w:val="22"/>
        <w:szCs w:val="22"/>
        <w:lang w:val="en-US" w:eastAsia="en-US" w:bidi="ar-SA"/>
      </w:rPr>
    </w:lvl>
    <w:lvl w:ilvl="1" w:tplc="1364429A">
      <w:numFmt w:val="bullet"/>
      <w:lvlText w:val="•"/>
      <w:lvlJc w:val="left"/>
      <w:pPr>
        <w:ind w:left="2544" w:hanging="676"/>
      </w:pPr>
      <w:rPr>
        <w:rFonts w:hint="default"/>
        <w:lang w:val="en-US" w:eastAsia="en-US" w:bidi="ar-SA"/>
      </w:rPr>
    </w:lvl>
    <w:lvl w:ilvl="2" w:tplc="8AB0EA28">
      <w:numFmt w:val="bullet"/>
      <w:lvlText w:val="•"/>
      <w:lvlJc w:val="left"/>
      <w:pPr>
        <w:ind w:left="3248" w:hanging="676"/>
      </w:pPr>
      <w:rPr>
        <w:rFonts w:hint="default"/>
        <w:lang w:val="en-US" w:eastAsia="en-US" w:bidi="ar-SA"/>
      </w:rPr>
    </w:lvl>
    <w:lvl w:ilvl="3" w:tplc="BF9EC4CA">
      <w:numFmt w:val="bullet"/>
      <w:lvlText w:val="•"/>
      <w:lvlJc w:val="left"/>
      <w:pPr>
        <w:ind w:left="3952" w:hanging="676"/>
      </w:pPr>
      <w:rPr>
        <w:rFonts w:hint="default"/>
        <w:lang w:val="en-US" w:eastAsia="en-US" w:bidi="ar-SA"/>
      </w:rPr>
    </w:lvl>
    <w:lvl w:ilvl="4" w:tplc="2F9E4474">
      <w:numFmt w:val="bullet"/>
      <w:lvlText w:val="•"/>
      <w:lvlJc w:val="left"/>
      <w:pPr>
        <w:ind w:left="4656" w:hanging="676"/>
      </w:pPr>
      <w:rPr>
        <w:rFonts w:hint="default"/>
        <w:lang w:val="en-US" w:eastAsia="en-US" w:bidi="ar-SA"/>
      </w:rPr>
    </w:lvl>
    <w:lvl w:ilvl="5" w:tplc="6D9EACE2">
      <w:numFmt w:val="bullet"/>
      <w:lvlText w:val="•"/>
      <w:lvlJc w:val="left"/>
      <w:pPr>
        <w:ind w:left="5360" w:hanging="676"/>
      </w:pPr>
      <w:rPr>
        <w:rFonts w:hint="default"/>
        <w:lang w:val="en-US" w:eastAsia="en-US" w:bidi="ar-SA"/>
      </w:rPr>
    </w:lvl>
    <w:lvl w:ilvl="6" w:tplc="FF3C4BF8">
      <w:numFmt w:val="bullet"/>
      <w:lvlText w:val="•"/>
      <w:lvlJc w:val="left"/>
      <w:pPr>
        <w:ind w:left="6064" w:hanging="676"/>
      </w:pPr>
      <w:rPr>
        <w:rFonts w:hint="default"/>
        <w:lang w:val="en-US" w:eastAsia="en-US" w:bidi="ar-SA"/>
      </w:rPr>
    </w:lvl>
    <w:lvl w:ilvl="7" w:tplc="FFC26A3C">
      <w:numFmt w:val="bullet"/>
      <w:lvlText w:val="•"/>
      <w:lvlJc w:val="left"/>
      <w:pPr>
        <w:ind w:left="6768" w:hanging="676"/>
      </w:pPr>
      <w:rPr>
        <w:rFonts w:hint="default"/>
        <w:lang w:val="en-US" w:eastAsia="en-US" w:bidi="ar-SA"/>
      </w:rPr>
    </w:lvl>
    <w:lvl w:ilvl="8" w:tplc="12D6233E">
      <w:numFmt w:val="bullet"/>
      <w:lvlText w:val="•"/>
      <w:lvlJc w:val="left"/>
      <w:pPr>
        <w:ind w:left="7472" w:hanging="676"/>
      </w:pPr>
      <w:rPr>
        <w:rFonts w:hint="default"/>
        <w:lang w:val="en-US" w:eastAsia="en-US" w:bidi="ar-SA"/>
      </w:rPr>
    </w:lvl>
  </w:abstractNum>
  <w:abstractNum w:abstractNumId="3">
    <w:nsid w:val="3AEB02AD"/>
    <w:multiLevelType w:val="hybridMultilevel"/>
    <w:tmpl w:val="7A464966"/>
    <w:lvl w:ilvl="0" w:tplc="61964C10">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nsid w:val="3C165ECA"/>
    <w:multiLevelType w:val="hybridMultilevel"/>
    <w:tmpl w:val="90EAEB2C"/>
    <w:lvl w:ilvl="0" w:tplc="75E2D986">
      <w:start w:val="1"/>
      <w:numFmt w:val="decimal"/>
      <w:lvlText w:val="%1."/>
      <w:lvlJc w:val="left"/>
      <w:pPr>
        <w:ind w:left="1058" w:hanging="252"/>
      </w:pPr>
      <w:rPr>
        <w:rFonts w:ascii="Times New Roman" w:eastAsia="Times New Roman" w:hAnsi="Times New Roman" w:cs="Times New Roman" w:hint="default"/>
        <w:w w:val="102"/>
        <w:sz w:val="22"/>
        <w:szCs w:val="22"/>
        <w:lang w:val="en-US" w:eastAsia="en-US" w:bidi="ar-SA"/>
      </w:rPr>
    </w:lvl>
    <w:lvl w:ilvl="1" w:tplc="6CA21D10">
      <w:numFmt w:val="bullet"/>
      <w:lvlText w:val="•"/>
      <w:lvlJc w:val="left"/>
      <w:pPr>
        <w:ind w:left="1842" w:hanging="252"/>
      </w:pPr>
      <w:rPr>
        <w:rFonts w:hint="default"/>
        <w:lang w:val="en-US" w:eastAsia="en-US" w:bidi="ar-SA"/>
      </w:rPr>
    </w:lvl>
    <w:lvl w:ilvl="2" w:tplc="5478E6B8">
      <w:numFmt w:val="bullet"/>
      <w:lvlText w:val="•"/>
      <w:lvlJc w:val="left"/>
      <w:pPr>
        <w:ind w:left="2624" w:hanging="252"/>
      </w:pPr>
      <w:rPr>
        <w:rFonts w:hint="default"/>
        <w:lang w:val="en-US" w:eastAsia="en-US" w:bidi="ar-SA"/>
      </w:rPr>
    </w:lvl>
    <w:lvl w:ilvl="3" w:tplc="A3C666D0">
      <w:numFmt w:val="bullet"/>
      <w:lvlText w:val="•"/>
      <w:lvlJc w:val="left"/>
      <w:pPr>
        <w:ind w:left="3406" w:hanging="252"/>
      </w:pPr>
      <w:rPr>
        <w:rFonts w:hint="default"/>
        <w:lang w:val="en-US" w:eastAsia="en-US" w:bidi="ar-SA"/>
      </w:rPr>
    </w:lvl>
    <w:lvl w:ilvl="4" w:tplc="AD0C12E6">
      <w:numFmt w:val="bullet"/>
      <w:lvlText w:val="•"/>
      <w:lvlJc w:val="left"/>
      <w:pPr>
        <w:ind w:left="4188" w:hanging="252"/>
      </w:pPr>
      <w:rPr>
        <w:rFonts w:hint="default"/>
        <w:lang w:val="en-US" w:eastAsia="en-US" w:bidi="ar-SA"/>
      </w:rPr>
    </w:lvl>
    <w:lvl w:ilvl="5" w:tplc="522A79AC">
      <w:numFmt w:val="bullet"/>
      <w:lvlText w:val="•"/>
      <w:lvlJc w:val="left"/>
      <w:pPr>
        <w:ind w:left="4970" w:hanging="252"/>
      </w:pPr>
      <w:rPr>
        <w:rFonts w:hint="default"/>
        <w:lang w:val="en-US" w:eastAsia="en-US" w:bidi="ar-SA"/>
      </w:rPr>
    </w:lvl>
    <w:lvl w:ilvl="6" w:tplc="4956E658">
      <w:numFmt w:val="bullet"/>
      <w:lvlText w:val="•"/>
      <w:lvlJc w:val="left"/>
      <w:pPr>
        <w:ind w:left="5752" w:hanging="252"/>
      </w:pPr>
      <w:rPr>
        <w:rFonts w:hint="default"/>
        <w:lang w:val="en-US" w:eastAsia="en-US" w:bidi="ar-SA"/>
      </w:rPr>
    </w:lvl>
    <w:lvl w:ilvl="7" w:tplc="531A653C">
      <w:numFmt w:val="bullet"/>
      <w:lvlText w:val="•"/>
      <w:lvlJc w:val="left"/>
      <w:pPr>
        <w:ind w:left="6534" w:hanging="252"/>
      </w:pPr>
      <w:rPr>
        <w:rFonts w:hint="default"/>
        <w:lang w:val="en-US" w:eastAsia="en-US" w:bidi="ar-SA"/>
      </w:rPr>
    </w:lvl>
    <w:lvl w:ilvl="8" w:tplc="40FEB614">
      <w:numFmt w:val="bullet"/>
      <w:lvlText w:val="•"/>
      <w:lvlJc w:val="left"/>
      <w:pPr>
        <w:ind w:left="7316" w:hanging="252"/>
      </w:pPr>
      <w:rPr>
        <w:rFonts w:hint="default"/>
        <w:lang w:val="en-US" w:eastAsia="en-US" w:bidi="ar-SA"/>
      </w:rPr>
    </w:lvl>
  </w:abstractNum>
  <w:abstractNum w:abstractNumId="5">
    <w:nsid w:val="49242DBA"/>
    <w:multiLevelType w:val="hybridMultilevel"/>
    <w:tmpl w:val="1CBA597A"/>
    <w:lvl w:ilvl="0" w:tplc="1ABE6EA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6">
    <w:nsid w:val="659A07F6"/>
    <w:multiLevelType w:val="hybridMultilevel"/>
    <w:tmpl w:val="131090B2"/>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7">
    <w:nsid w:val="684731C6"/>
    <w:multiLevelType w:val="hybridMultilevel"/>
    <w:tmpl w:val="5EC63A54"/>
    <w:lvl w:ilvl="0" w:tplc="F250A07C">
      <w:start w:val="1"/>
      <w:numFmt w:val="decimal"/>
      <w:lvlText w:val="%1."/>
      <w:lvlJc w:val="left"/>
      <w:pPr>
        <w:ind w:left="832" w:hanging="676"/>
      </w:pPr>
      <w:rPr>
        <w:rFonts w:ascii="Times New Roman" w:eastAsia="Times New Roman" w:hAnsi="Times New Roman" w:cs="Times New Roman" w:hint="default"/>
        <w:b/>
        <w:bCs/>
        <w:spacing w:val="-4"/>
        <w:w w:val="99"/>
        <w:sz w:val="22"/>
        <w:szCs w:val="22"/>
        <w:lang w:val="en-US" w:eastAsia="en-US" w:bidi="ar-SA"/>
      </w:rPr>
    </w:lvl>
    <w:lvl w:ilvl="1" w:tplc="318E5B3C">
      <w:start w:val="1"/>
      <w:numFmt w:val="lowerRoman"/>
      <w:lvlText w:val="%2)"/>
      <w:lvlJc w:val="left"/>
      <w:pPr>
        <w:ind w:left="1564" w:hanging="338"/>
      </w:pPr>
      <w:rPr>
        <w:rFonts w:ascii="Times New Roman" w:eastAsia="Times New Roman" w:hAnsi="Times New Roman" w:cs="Times New Roman" w:hint="default"/>
        <w:spacing w:val="-1"/>
        <w:w w:val="102"/>
        <w:sz w:val="22"/>
        <w:szCs w:val="22"/>
        <w:lang w:val="en-US" w:eastAsia="en-US" w:bidi="ar-SA"/>
      </w:rPr>
    </w:lvl>
    <w:lvl w:ilvl="2" w:tplc="6E36A21A">
      <w:numFmt w:val="bullet"/>
      <w:lvlText w:val="•"/>
      <w:lvlJc w:val="left"/>
      <w:pPr>
        <w:ind w:left="2373" w:hanging="338"/>
      </w:pPr>
      <w:rPr>
        <w:rFonts w:hint="default"/>
        <w:lang w:val="en-US" w:eastAsia="en-US" w:bidi="ar-SA"/>
      </w:rPr>
    </w:lvl>
    <w:lvl w:ilvl="3" w:tplc="6484BAEE">
      <w:numFmt w:val="bullet"/>
      <w:lvlText w:val="•"/>
      <w:lvlJc w:val="left"/>
      <w:pPr>
        <w:ind w:left="3186" w:hanging="338"/>
      </w:pPr>
      <w:rPr>
        <w:rFonts w:hint="default"/>
        <w:lang w:val="en-US" w:eastAsia="en-US" w:bidi="ar-SA"/>
      </w:rPr>
    </w:lvl>
    <w:lvl w:ilvl="4" w:tplc="B316E154">
      <w:numFmt w:val="bullet"/>
      <w:lvlText w:val="•"/>
      <w:lvlJc w:val="left"/>
      <w:pPr>
        <w:ind w:left="4000" w:hanging="338"/>
      </w:pPr>
      <w:rPr>
        <w:rFonts w:hint="default"/>
        <w:lang w:val="en-US" w:eastAsia="en-US" w:bidi="ar-SA"/>
      </w:rPr>
    </w:lvl>
    <w:lvl w:ilvl="5" w:tplc="D6EA5082">
      <w:numFmt w:val="bullet"/>
      <w:lvlText w:val="•"/>
      <w:lvlJc w:val="left"/>
      <w:pPr>
        <w:ind w:left="4813" w:hanging="338"/>
      </w:pPr>
      <w:rPr>
        <w:rFonts w:hint="default"/>
        <w:lang w:val="en-US" w:eastAsia="en-US" w:bidi="ar-SA"/>
      </w:rPr>
    </w:lvl>
    <w:lvl w:ilvl="6" w:tplc="1178704E">
      <w:numFmt w:val="bullet"/>
      <w:lvlText w:val="•"/>
      <w:lvlJc w:val="left"/>
      <w:pPr>
        <w:ind w:left="5626" w:hanging="338"/>
      </w:pPr>
      <w:rPr>
        <w:rFonts w:hint="default"/>
        <w:lang w:val="en-US" w:eastAsia="en-US" w:bidi="ar-SA"/>
      </w:rPr>
    </w:lvl>
    <w:lvl w:ilvl="7" w:tplc="B978DE14">
      <w:numFmt w:val="bullet"/>
      <w:lvlText w:val="•"/>
      <w:lvlJc w:val="left"/>
      <w:pPr>
        <w:ind w:left="6440" w:hanging="338"/>
      </w:pPr>
      <w:rPr>
        <w:rFonts w:hint="default"/>
        <w:lang w:val="en-US" w:eastAsia="en-US" w:bidi="ar-SA"/>
      </w:rPr>
    </w:lvl>
    <w:lvl w:ilvl="8" w:tplc="668C5F5E">
      <w:numFmt w:val="bullet"/>
      <w:lvlText w:val="•"/>
      <w:lvlJc w:val="left"/>
      <w:pPr>
        <w:ind w:left="7253" w:hanging="338"/>
      </w:pPr>
      <w:rPr>
        <w:rFonts w:hint="default"/>
        <w:lang w:val="en-US" w:eastAsia="en-US" w:bidi="ar-SA"/>
      </w:rPr>
    </w:lvl>
  </w:abstractNum>
  <w:abstractNum w:abstractNumId="8">
    <w:nsid w:val="6BE32DCD"/>
    <w:multiLevelType w:val="hybridMultilevel"/>
    <w:tmpl w:val="7A102D00"/>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9">
    <w:nsid w:val="732D67DA"/>
    <w:multiLevelType w:val="hybridMultilevel"/>
    <w:tmpl w:val="240E7DA0"/>
    <w:lvl w:ilvl="0" w:tplc="5C185EB8">
      <w:start w:val="1"/>
      <w:numFmt w:val="low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0">
    <w:nsid w:val="7B276854"/>
    <w:multiLevelType w:val="hybridMultilevel"/>
    <w:tmpl w:val="52A630FE"/>
    <w:lvl w:ilvl="0" w:tplc="4009001B">
      <w:start w:val="1"/>
      <w:numFmt w:val="lowerRoman"/>
      <w:lvlText w:val="%1."/>
      <w:lvlJc w:val="righ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num w:numId="1">
    <w:abstractNumId w:val="2"/>
  </w:num>
  <w:num w:numId="2">
    <w:abstractNumId w:val="4"/>
  </w:num>
  <w:num w:numId="3">
    <w:abstractNumId w:val="7"/>
  </w:num>
  <w:num w:numId="4">
    <w:abstractNumId w:val="6"/>
  </w:num>
  <w:num w:numId="5">
    <w:abstractNumId w:val="5"/>
  </w:num>
  <w:num w:numId="6">
    <w:abstractNumId w:val="1"/>
  </w:num>
  <w:num w:numId="7">
    <w:abstractNumId w:val="3"/>
  </w:num>
  <w:num w:numId="8">
    <w:abstractNumId w:val="8"/>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05EF"/>
    <w:rsid w:val="0002040B"/>
    <w:rsid w:val="0003439D"/>
    <w:rsid w:val="00040C02"/>
    <w:rsid w:val="000841A5"/>
    <w:rsid w:val="00096FA7"/>
    <w:rsid w:val="000A276F"/>
    <w:rsid w:val="000C0337"/>
    <w:rsid w:val="000F6342"/>
    <w:rsid w:val="001119BE"/>
    <w:rsid w:val="0011685F"/>
    <w:rsid w:val="00192FAA"/>
    <w:rsid w:val="001A22F4"/>
    <w:rsid w:val="001A40B0"/>
    <w:rsid w:val="001C2179"/>
    <w:rsid w:val="001F1694"/>
    <w:rsid w:val="0023722D"/>
    <w:rsid w:val="00272416"/>
    <w:rsid w:val="00297ADD"/>
    <w:rsid w:val="002A1C0F"/>
    <w:rsid w:val="002C04D9"/>
    <w:rsid w:val="002F7182"/>
    <w:rsid w:val="00320A1B"/>
    <w:rsid w:val="00321627"/>
    <w:rsid w:val="00323B14"/>
    <w:rsid w:val="003A14A1"/>
    <w:rsid w:val="003A4043"/>
    <w:rsid w:val="003C7BE6"/>
    <w:rsid w:val="00426EB1"/>
    <w:rsid w:val="0045095B"/>
    <w:rsid w:val="00450F92"/>
    <w:rsid w:val="00466D83"/>
    <w:rsid w:val="00495FB3"/>
    <w:rsid w:val="004E49CB"/>
    <w:rsid w:val="00526B7E"/>
    <w:rsid w:val="00570B19"/>
    <w:rsid w:val="00577C20"/>
    <w:rsid w:val="005901B7"/>
    <w:rsid w:val="00594BE5"/>
    <w:rsid w:val="005B6648"/>
    <w:rsid w:val="005D090D"/>
    <w:rsid w:val="00610D15"/>
    <w:rsid w:val="00614D02"/>
    <w:rsid w:val="00653918"/>
    <w:rsid w:val="006571AD"/>
    <w:rsid w:val="006601AD"/>
    <w:rsid w:val="0066240D"/>
    <w:rsid w:val="006628C8"/>
    <w:rsid w:val="006B6F18"/>
    <w:rsid w:val="006E322E"/>
    <w:rsid w:val="00733D3D"/>
    <w:rsid w:val="00771483"/>
    <w:rsid w:val="00796095"/>
    <w:rsid w:val="007C3182"/>
    <w:rsid w:val="00815B67"/>
    <w:rsid w:val="009028E9"/>
    <w:rsid w:val="00917EF6"/>
    <w:rsid w:val="00933A0F"/>
    <w:rsid w:val="009877B0"/>
    <w:rsid w:val="00994761"/>
    <w:rsid w:val="009A4792"/>
    <w:rsid w:val="009B527E"/>
    <w:rsid w:val="009C02F1"/>
    <w:rsid w:val="009C591A"/>
    <w:rsid w:val="00A105EF"/>
    <w:rsid w:val="00A551BE"/>
    <w:rsid w:val="00A9668F"/>
    <w:rsid w:val="00B16E60"/>
    <w:rsid w:val="00B52815"/>
    <w:rsid w:val="00B8054E"/>
    <w:rsid w:val="00B978EE"/>
    <w:rsid w:val="00B97C90"/>
    <w:rsid w:val="00C302E4"/>
    <w:rsid w:val="00C33452"/>
    <w:rsid w:val="00C66ACC"/>
    <w:rsid w:val="00C76699"/>
    <w:rsid w:val="00C819E5"/>
    <w:rsid w:val="00C96DE3"/>
    <w:rsid w:val="00CD2918"/>
    <w:rsid w:val="00CE05EC"/>
    <w:rsid w:val="00D1424E"/>
    <w:rsid w:val="00D2246A"/>
    <w:rsid w:val="00D702AC"/>
    <w:rsid w:val="00D85028"/>
    <w:rsid w:val="00D94336"/>
    <w:rsid w:val="00DA2BDE"/>
    <w:rsid w:val="00DB117B"/>
    <w:rsid w:val="00DD506F"/>
    <w:rsid w:val="00DD5EE0"/>
    <w:rsid w:val="00DE6369"/>
    <w:rsid w:val="00DF3A48"/>
    <w:rsid w:val="00E5128C"/>
    <w:rsid w:val="00E53D19"/>
    <w:rsid w:val="00E6147F"/>
    <w:rsid w:val="00E711B4"/>
    <w:rsid w:val="00EA65A2"/>
    <w:rsid w:val="00EB533D"/>
    <w:rsid w:val="00ED2B8A"/>
    <w:rsid w:val="00EE0F33"/>
    <w:rsid w:val="00EF4305"/>
    <w:rsid w:val="00F0247D"/>
    <w:rsid w:val="00F15348"/>
    <w:rsid w:val="00F249D6"/>
    <w:rsid w:val="00F75A79"/>
    <w:rsid w:val="00F76A59"/>
    <w:rsid w:val="00F85EC7"/>
    <w:rsid w:val="00FA54D8"/>
    <w:rsid w:val="00FC3700"/>
    <w:rsid w:val="00FC620F"/>
    <w:rsid w:val="00FF27A9"/>
    <w:rsid w:val="00FF2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1EB64"/>
  <w15:docId w15:val="{75DABD38-9A6D-4C87-83FD-BFD6464E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49D6"/>
    <w:rPr>
      <w:rFonts w:ascii="Times New Roman" w:eastAsia="Times New Roman" w:hAnsi="Times New Roman" w:cs="Times New Roman"/>
    </w:rPr>
  </w:style>
  <w:style w:type="paragraph" w:styleId="Heading1">
    <w:name w:val="heading 1"/>
    <w:basedOn w:val="Normal"/>
    <w:uiPriority w:val="1"/>
    <w:qFormat/>
    <w:rsid w:val="00F249D6"/>
    <w:pPr>
      <w:ind w:left="832" w:hanging="67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249D6"/>
  </w:style>
  <w:style w:type="paragraph" w:styleId="ListParagraph">
    <w:name w:val="List Paragraph"/>
    <w:basedOn w:val="Normal"/>
    <w:uiPriority w:val="1"/>
    <w:qFormat/>
    <w:rsid w:val="00F249D6"/>
    <w:pPr>
      <w:ind w:left="832" w:hanging="677"/>
    </w:pPr>
  </w:style>
  <w:style w:type="paragraph" w:customStyle="1" w:styleId="TableParagraph">
    <w:name w:val="Table Paragraph"/>
    <w:basedOn w:val="Normal"/>
    <w:uiPriority w:val="1"/>
    <w:qFormat/>
    <w:rsid w:val="00F249D6"/>
  </w:style>
  <w:style w:type="paragraph" w:styleId="Header">
    <w:name w:val="header"/>
    <w:basedOn w:val="Normal"/>
    <w:link w:val="HeaderChar"/>
    <w:uiPriority w:val="99"/>
    <w:unhideWhenUsed/>
    <w:rsid w:val="00ED2B8A"/>
    <w:pPr>
      <w:tabs>
        <w:tab w:val="center" w:pos="4680"/>
        <w:tab w:val="right" w:pos="9360"/>
      </w:tabs>
    </w:pPr>
  </w:style>
  <w:style w:type="character" w:customStyle="1" w:styleId="HeaderChar">
    <w:name w:val="Header Char"/>
    <w:basedOn w:val="DefaultParagraphFont"/>
    <w:link w:val="Header"/>
    <w:uiPriority w:val="99"/>
    <w:rsid w:val="00ED2B8A"/>
    <w:rPr>
      <w:rFonts w:ascii="Times New Roman" w:eastAsia="Times New Roman" w:hAnsi="Times New Roman" w:cs="Times New Roman"/>
    </w:rPr>
  </w:style>
  <w:style w:type="paragraph" w:styleId="Footer">
    <w:name w:val="footer"/>
    <w:basedOn w:val="Normal"/>
    <w:link w:val="FooterChar"/>
    <w:uiPriority w:val="99"/>
    <w:unhideWhenUsed/>
    <w:rsid w:val="00ED2B8A"/>
    <w:pPr>
      <w:tabs>
        <w:tab w:val="center" w:pos="4680"/>
        <w:tab w:val="right" w:pos="9360"/>
      </w:tabs>
    </w:pPr>
  </w:style>
  <w:style w:type="character" w:customStyle="1" w:styleId="FooterChar">
    <w:name w:val="Footer Char"/>
    <w:basedOn w:val="DefaultParagraphFont"/>
    <w:link w:val="Footer"/>
    <w:uiPriority w:val="99"/>
    <w:rsid w:val="00ED2B8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571AD"/>
    <w:rPr>
      <w:rFonts w:ascii="Tahoma" w:hAnsi="Tahoma" w:cs="Tahoma"/>
      <w:sz w:val="16"/>
      <w:szCs w:val="16"/>
    </w:rPr>
  </w:style>
  <w:style w:type="character" w:customStyle="1" w:styleId="BalloonTextChar">
    <w:name w:val="Balloon Text Char"/>
    <w:basedOn w:val="DefaultParagraphFont"/>
    <w:link w:val="BalloonText"/>
    <w:uiPriority w:val="99"/>
    <w:semiHidden/>
    <w:rsid w:val="006571A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6095"/>
    <w:rPr>
      <w:sz w:val="16"/>
      <w:szCs w:val="16"/>
    </w:rPr>
  </w:style>
  <w:style w:type="paragraph" w:styleId="CommentText">
    <w:name w:val="annotation text"/>
    <w:basedOn w:val="Normal"/>
    <w:link w:val="CommentTextChar"/>
    <w:uiPriority w:val="99"/>
    <w:semiHidden/>
    <w:unhideWhenUsed/>
    <w:rsid w:val="00796095"/>
    <w:rPr>
      <w:sz w:val="20"/>
      <w:szCs w:val="20"/>
    </w:rPr>
  </w:style>
  <w:style w:type="character" w:customStyle="1" w:styleId="CommentTextChar">
    <w:name w:val="Comment Text Char"/>
    <w:basedOn w:val="DefaultParagraphFont"/>
    <w:link w:val="CommentText"/>
    <w:uiPriority w:val="99"/>
    <w:semiHidden/>
    <w:rsid w:val="00796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095"/>
    <w:rPr>
      <w:b/>
      <w:bCs/>
    </w:rPr>
  </w:style>
  <w:style w:type="character" w:customStyle="1" w:styleId="CommentSubjectChar">
    <w:name w:val="Comment Subject Char"/>
    <w:basedOn w:val="CommentTextChar"/>
    <w:link w:val="CommentSubject"/>
    <w:uiPriority w:val="99"/>
    <w:semiHidden/>
    <w:rsid w:val="00796095"/>
    <w:rPr>
      <w:rFonts w:ascii="Times New Roman" w:eastAsia="Times New Roman" w:hAnsi="Times New Roman" w:cs="Times New Roman"/>
      <w:b/>
      <w:bCs/>
      <w:sz w:val="20"/>
      <w:szCs w:val="20"/>
    </w:rPr>
  </w:style>
  <w:style w:type="character" w:styleId="Hyperlink">
    <w:name w:val="Hyperlink"/>
    <w:aliases w:val="hyperlink"/>
    <w:uiPriority w:val="99"/>
    <w:unhideWhenUsed/>
    <w:rsid w:val="00D14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62007">
      <w:bodyDiv w:val="1"/>
      <w:marLeft w:val="0"/>
      <w:marRight w:val="0"/>
      <w:marTop w:val="0"/>
      <w:marBottom w:val="0"/>
      <w:divBdr>
        <w:top w:val="none" w:sz="0" w:space="0" w:color="auto"/>
        <w:left w:val="none" w:sz="0" w:space="0" w:color="auto"/>
        <w:bottom w:val="none" w:sz="0" w:space="0" w:color="auto"/>
        <w:right w:val="none" w:sz="0" w:space="0" w:color="auto"/>
      </w:divBdr>
    </w:div>
    <w:div w:id="130353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Policy-for-determining-Material-subsidiaries.docx</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Policy-for-determining-Material-subsidiaries.docx</dc:title>
  <dc:subject/>
  <dc:creator>cs.jcsl</dc:creator>
  <cp:keywords/>
  <dc:description/>
  <cp:lastModifiedBy>baikakaji</cp:lastModifiedBy>
  <cp:revision>3</cp:revision>
  <dcterms:created xsi:type="dcterms:W3CDTF">2021-03-30T10:46:00Z</dcterms:created>
  <dcterms:modified xsi:type="dcterms:W3CDTF">2025-05-27T06:06:00Z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PScript5.dll Version 5.2.2</vt:lpwstr>
  </property>
  <property fmtid="{D5CDD505-2E9C-101B-9397-08002B2CF9AE}" pid="4" name="LastSaved">
    <vt:filetime>2021-03-30T00:00:00Z</vt:filetime>
  </property>
</Properties>
</file>